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13" w:type="dxa"/>
        <w:jc w:val="center"/>
        <w:tblInd w:w="5" w:type="dxa"/>
        <w:shd w:val="clear"/>
        <w:tblLayout w:type="fixed"/>
        <w:tblCellMar>
          <w:top w:w="0" w:type="dxa"/>
          <w:left w:w="0" w:type="dxa"/>
          <w:bottom w:w="0" w:type="dxa"/>
          <w:right w:w="0" w:type="dxa"/>
        </w:tblCellMar>
      </w:tblPr>
      <w:tblGrid>
        <w:gridCol w:w="742"/>
        <w:gridCol w:w="427"/>
        <w:gridCol w:w="236"/>
        <w:gridCol w:w="190"/>
        <w:gridCol w:w="134"/>
        <w:gridCol w:w="724"/>
        <w:gridCol w:w="427"/>
        <w:gridCol w:w="134"/>
        <w:gridCol w:w="292"/>
        <w:gridCol w:w="427"/>
        <w:gridCol w:w="290"/>
        <w:gridCol w:w="498"/>
        <w:gridCol w:w="538"/>
        <w:gridCol w:w="1214"/>
        <w:gridCol w:w="944"/>
        <w:gridCol w:w="1296"/>
      </w:tblGrid>
      <w:tr>
        <w:tblPrEx>
          <w:shd w:val="clear"/>
          <w:tblLayout w:type="fixed"/>
          <w:tblCellMar>
            <w:top w:w="0" w:type="dxa"/>
            <w:left w:w="0" w:type="dxa"/>
            <w:bottom w:w="0" w:type="dxa"/>
            <w:right w:w="0" w:type="dxa"/>
          </w:tblCellMar>
        </w:tblPrEx>
        <w:trPr>
          <w:trHeight w:val="765" w:hRule="atLeast"/>
          <w:jc w:val="center"/>
        </w:trPr>
        <w:tc>
          <w:tcPr>
            <w:tcW w:w="1405"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sz w:val="32"/>
                <w:szCs w:val="32"/>
                <w:bdr w:val="none" w:color="auto" w:sz="0" w:space="0"/>
              </w:rPr>
              <w:t>附件1：</w:t>
            </w:r>
          </w:p>
        </w:tc>
        <w:tc>
          <w:tcPr>
            <w:tcW w:w="324"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285"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009"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036"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214"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944"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296"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r>
      <w:tr>
        <w:tblPrEx>
          <w:tblLayout w:type="fixed"/>
          <w:tblCellMar>
            <w:top w:w="0" w:type="dxa"/>
            <w:left w:w="0" w:type="dxa"/>
            <w:bottom w:w="0" w:type="dxa"/>
            <w:right w:w="0" w:type="dxa"/>
          </w:tblCellMar>
        </w:tblPrEx>
        <w:trPr>
          <w:trHeight w:val="540" w:hRule="atLeast"/>
          <w:jc w:val="center"/>
        </w:trPr>
        <w:tc>
          <w:tcPr>
            <w:tcW w:w="8513" w:type="dxa"/>
            <w:gridSpan w:val="16"/>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Fonts w:ascii="黑体" w:hAnsi="宋体" w:eastAsia="黑体" w:cs="黑体"/>
                <w:sz w:val="44"/>
                <w:szCs w:val="44"/>
                <w:bdr w:val="none" w:color="auto" w:sz="0" w:space="0"/>
              </w:rPr>
              <w:t>2021</w:t>
            </w:r>
            <w:r>
              <w:rPr>
                <w:rFonts w:hint="eastAsia" w:ascii="黑体" w:hAnsi="宋体" w:eastAsia="黑体" w:cs="黑体"/>
                <w:sz w:val="44"/>
                <w:szCs w:val="44"/>
                <w:bdr w:val="none" w:color="auto" w:sz="0" w:space="0"/>
              </w:rPr>
              <w:t>年邵武市新任教师招聘简章</w:t>
            </w:r>
            <w:bookmarkEnd w:id="0"/>
          </w:p>
        </w:tc>
      </w:tr>
      <w:tr>
        <w:tblPrEx>
          <w:tblLayout w:type="fixed"/>
          <w:tblCellMar>
            <w:top w:w="0" w:type="dxa"/>
            <w:left w:w="0" w:type="dxa"/>
            <w:bottom w:w="0" w:type="dxa"/>
            <w:right w:w="0" w:type="dxa"/>
          </w:tblCellMar>
        </w:tblPrEx>
        <w:trPr>
          <w:trHeight w:val="270" w:hRule="atLeast"/>
          <w:jc w:val="center"/>
        </w:trPr>
        <w:tc>
          <w:tcPr>
            <w:tcW w:w="742"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427"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6"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858"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7"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6"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7"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788"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3992" w:type="dxa"/>
            <w:gridSpan w:val="4"/>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r>
      <w:tr>
        <w:tblPrEx>
          <w:tblLayout w:type="fixed"/>
          <w:tblCellMar>
            <w:top w:w="0" w:type="dxa"/>
            <w:left w:w="0" w:type="dxa"/>
            <w:bottom w:w="0" w:type="dxa"/>
            <w:right w:w="0" w:type="dxa"/>
          </w:tblCellMar>
        </w:tblPrEx>
        <w:trPr>
          <w:trHeight w:val="540" w:hRule="atLeast"/>
          <w:jc w:val="center"/>
        </w:trPr>
        <w:tc>
          <w:tcPr>
            <w:tcW w:w="7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仿宋_GB2312" w:eastAsia="仿宋_GB2312" w:cs="仿宋_GB2312"/>
                <w:sz w:val="21"/>
                <w:szCs w:val="21"/>
                <w:bdr w:val="none" w:color="auto" w:sz="0" w:space="0"/>
              </w:rPr>
              <w:t>招聘单位</w:t>
            </w:r>
          </w:p>
        </w:tc>
        <w:tc>
          <w:tcPr>
            <w:tcW w:w="42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岗位名称</w:t>
            </w:r>
          </w:p>
        </w:tc>
        <w:tc>
          <w:tcPr>
            <w:tcW w:w="42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招聘 人数</w:t>
            </w:r>
          </w:p>
        </w:tc>
        <w:tc>
          <w:tcPr>
            <w:tcW w:w="85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专业要求</w:t>
            </w:r>
          </w:p>
        </w:tc>
        <w:tc>
          <w:tcPr>
            <w:tcW w:w="42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学历要求</w:t>
            </w:r>
          </w:p>
        </w:tc>
        <w:tc>
          <w:tcPr>
            <w:tcW w:w="42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学位 要求</w:t>
            </w:r>
          </w:p>
        </w:tc>
        <w:tc>
          <w:tcPr>
            <w:tcW w:w="42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学历类别</w:t>
            </w:r>
          </w:p>
        </w:tc>
        <w:tc>
          <w:tcPr>
            <w:tcW w:w="78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考试  形式</w:t>
            </w:r>
          </w:p>
        </w:tc>
        <w:tc>
          <w:tcPr>
            <w:tcW w:w="3992"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其他要求</w:t>
            </w:r>
          </w:p>
        </w:tc>
      </w:tr>
      <w:tr>
        <w:tblPrEx>
          <w:tblLayout w:type="fixed"/>
          <w:tblCellMar>
            <w:top w:w="0" w:type="dxa"/>
            <w:left w:w="0" w:type="dxa"/>
            <w:bottom w:w="0" w:type="dxa"/>
            <w:right w:w="0" w:type="dxa"/>
          </w:tblCellMar>
        </w:tblPrEx>
        <w:trPr>
          <w:trHeight w:val="624" w:hRule="atLeast"/>
          <w:jc w:val="center"/>
        </w:trPr>
        <w:tc>
          <w:tcPr>
            <w:tcW w:w="7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中学　 (8名）</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数学教师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数学类、数学教育</w:t>
            </w:r>
          </w:p>
        </w:tc>
        <w:tc>
          <w:tcPr>
            <w:tcW w:w="42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本科及以上</w:t>
            </w:r>
          </w:p>
        </w:tc>
        <w:tc>
          <w:tcPr>
            <w:tcW w:w="42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学士 及以上</w:t>
            </w:r>
          </w:p>
        </w:tc>
        <w:tc>
          <w:tcPr>
            <w:tcW w:w="42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78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笔试+面试</w:t>
            </w:r>
          </w:p>
        </w:tc>
        <w:tc>
          <w:tcPr>
            <w:tcW w:w="3992"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1.具有相应学科的高中教师资格证（地理、物理、化学、心理健康教育教师具有相应学科的初中教师资格证也可报考）；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2.所学专业应与招聘岗位相符的师范类专业；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3.被机关事业单位录（聘）用的人员最低服务年限已满及事业单位首次聘用合同约定期限已满的人员须取得工作单位及上级主管部门同意方可报考；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4.年龄35周岁及以下（1985年3月21日之后出生）；　　　　　　　　　　　　　　5.聘用后根据工作需要可先交流农村学校任教1至3年。</w:t>
            </w:r>
          </w:p>
        </w:tc>
      </w:tr>
      <w:tr>
        <w:tblPrEx>
          <w:tblLayout w:type="fixed"/>
          <w:tblCellMar>
            <w:top w:w="0" w:type="dxa"/>
            <w:left w:w="0" w:type="dxa"/>
            <w:bottom w:w="0" w:type="dxa"/>
            <w:right w:w="0" w:type="dxa"/>
          </w:tblCellMar>
        </w:tblPrEx>
        <w:trPr>
          <w:trHeight w:val="624"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思想政治教师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思想政治教育、学科教学（思想政治教育）</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24"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地理教师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地理科学类、地理教育</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24"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物理教师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物理学类、物理教育</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24"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化学教师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化学类、化学教育</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24"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心理健康教育教师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心理学类、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心理健康教育</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4" w:hRule="atLeast"/>
          <w:jc w:val="center"/>
        </w:trPr>
        <w:tc>
          <w:tcPr>
            <w:tcW w:w="7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小学 （47名）</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语文教师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15</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本科及以上</w:t>
            </w:r>
          </w:p>
        </w:tc>
        <w:tc>
          <w:tcPr>
            <w:tcW w:w="42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78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笔试+面试</w:t>
            </w:r>
          </w:p>
        </w:tc>
        <w:tc>
          <w:tcPr>
            <w:tcW w:w="3992"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1. 具有中、小学相应学科教师资格证；</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2.被机关事业单位录（聘）用的人员最低服务年限已满及事业单位首次聘用合同约定期限已满的人员须取得工作单位及上级主管部门同意方可报考；</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3.年龄35周岁及以下（1985年3月21日之后出生）；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4.全日制师范类专业大学专科毕业者也可报考；　　　　　　　　　　　　　　  5.城区小学教师聘用后根据工作需要可先交流农村学校任教1至3年。　　</w:t>
            </w:r>
          </w:p>
        </w:tc>
      </w:tr>
      <w:tr>
        <w:tblPrEx>
          <w:tblLayout w:type="fixed"/>
          <w:tblCellMar>
            <w:top w:w="0" w:type="dxa"/>
            <w:left w:w="0" w:type="dxa"/>
            <w:bottom w:w="0" w:type="dxa"/>
            <w:right w:w="0" w:type="dxa"/>
          </w:tblCellMar>
        </w:tblPrEx>
        <w:trPr>
          <w:trHeight w:val="339"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数学教师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17</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61"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英语教师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外国语言文学类(英语语种)、英语教育</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53"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音乐教师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4</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仿宋_GB2312" w:eastAsia="仿宋_GB2312" w:cs="仿宋_GB2312"/>
                <w:sz w:val="21"/>
                <w:szCs w:val="21"/>
                <w:bdr w:val="none" w:color="auto" w:sz="0" w:space="0"/>
              </w:rPr>
              <w:t>表演艺术类、音乐教育、艺术教育（音乐方向）</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31"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美术教师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艺术设计类、美术教育、艺术教育（美术方向）</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83"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体育教师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2</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体育学类</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23" w:hRule="atLeast"/>
          <w:jc w:val="center"/>
        </w:trPr>
        <w:tc>
          <w:tcPr>
            <w:tcW w:w="7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信息技术教师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计算机科学与技术类</w:t>
            </w: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992"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534" w:hRule="atLeast"/>
          <w:jc w:val="center"/>
        </w:trPr>
        <w:tc>
          <w:tcPr>
            <w:tcW w:w="74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幼儿园（51名）</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幼儿教师</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51</w:t>
            </w:r>
          </w:p>
        </w:tc>
        <w:tc>
          <w:tcPr>
            <w:tcW w:w="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学前教育（学）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幼儿教育</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大专及以上</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78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笔试+面试</w:t>
            </w:r>
          </w:p>
        </w:tc>
        <w:tc>
          <w:tcPr>
            <w:tcW w:w="399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1.具有幼儿园教师资格证；</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2.被机关事业单位录（聘）用的人员最低服务年限已满及事业单位首次聘用合同约定期限已满的人员须取得工作单位及上级主管部门同意方可报考；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3.年龄35周岁及以下（1985年3月21日之后出生）；　　　　　　　　　　　　　　　4.城区幼儿园教师聘用后根据工作需要可先交流农村幼儿园任教1至3年。</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5、中专学历为学前教育（幼师）专业，已取得大专及以上学历者也可报考。</w:t>
            </w:r>
          </w:p>
        </w:tc>
      </w:tr>
      <w:tr>
        <w:tblPrEx>
          <w:tblLayout w:type="fixed"/>
          <w:tblCellMar>
            <w:top w:w="0" w:type="dxa"/>
            <w:left w:w="0" w:type="dxa"/>
            <w:bottom w:w="0" w:type="dxa"/>
            <w:right w:w="0" w:type="dxa"/>
          </w:tblCellMar>
        </w:tblPrEx>
        <w:trPr>
          <w:trHeight w:val="0" w:hRule="atLeast"/>
          <w:jc w:val="center"/>
        </w:trPr>
        <w:tc>
          <w:tcPr>
            <w:tcW w:w="742" w:type="dxa"/>
            <w:tcBorders>
              <w:top w:val="nil"/>
              <w:left w:val="nil"/>
              <w:bottom w:val="nil"/>
              <w:right w:val="nil"/>
            </w:tcBorders>
            <w:shd w:val="clear"/>
            <w:vAlign w:val="center"/>
          </w:tcPr>
          <w:p>
            <w:pPr>
              <w:rPr>
                <w:rFonts w:hint="eastAsia" w:ascii="宋体"/>
                <w:sz w:val="24"/>
                <w:szCs w:val="24"/>
              </w:rPr>
            </w:pPr>
          </w:p>
        </w:tc>
        <w:tc>
          <w:tcPr>
            <w:tcW w:w="427" w:type="dxa"/>
            <w:tcBorders>
              <w:top w:val="nil"/>
              <w:left w:val="nil"/>
              <w:bottom w:val="nil"/>
              <w:right w:val="nil"/>
            </w:tcBorders>
            <w:shd w:val="clear"/>
            <w:vAlign w:val="center"/>
          </w:tcPr>
          <w:p>
            <w:pPr>
              <w:rPr>
                <w:rFonts w:hint="eastAsia" w:ascii="宋体"/>
                <w:sz w:val="24"/>
                <w:szCs w:val="24"/>
              </w:rPr>
            </w:pPr>
          </w:p>
        </w:tc>
        <w:tc>
          <w:tcPr>
            <w:tcW w:w="236" w:type="dxa"/>
            <w:tcBorders>
              <w:top w:val="nil"/>
              <w:left w:val="nil"/>
              <w:bottom w:val="nil"/>
              <w:right w:val="nil"/>
            </w:tcBorders>
            <w:shd w:val="clear"/>
            <w:vAlign w:val="center"/>
          </w:tcPr>
          <w:p>
            <w:pPr>
              <w:rPr>
                <w:rFonts w:hint="eastAsia" w:ascii="宋体"/>
                <w:sz w:val="24"/>
                <w:szCs w:val="24"/>
              </w:rPr>
            </w:pPr>
          </w:p>
        </w:tc>
        <w:tc>
          <w:tcPr>
            <w:tcW w:w="190" w:type="dxa"/>
            <w:tcBorders>
              <w:top w:val="nil"/>
              <w:left w:val="nil"/>
              <w:bottom w:val="nil"/>
              <w:right w:val="nil"/>
            </w:tcBorders>
            <w:shd w:val="clear"/>
            <w:vAlign w:val="center"/>
          </w:tcPr>
          <w:p>
            <w:pPr>
              <w:rPr>
                <w:rFonts w:hint="eastAsia" w:ascii="宋体"/>
                <w:sz w:val="24"/>
                <w:szCs w:val="24"/>
              </w:rPr>
            </w:pPr>
          </w:p>
        </w:tc>
        <w:tc>
          <w:tcPr>
            <w:tcW w:w="134" w:type="dxa"/>
            <w:tcBorders>
              <w:top w:val="nil"/>
              <w:left w:val="nil"/>
              <w:bottom w:val="nil"/>
              <w:right w:val="nil"/>
            </w:tcBorders>
            <w:shd w:val="clear"/>
            <w:vAlign w:val="center"/>
          </w:tcPr>
          <w:p>
            <w:pPr>
              <w:rPr>
                <w:rFonts w:hint="eastAsia" w:ascii="宋体"/>
                <w:sz w:val="24"/>
                <w:szCs w:val="24"/>
              </w:rPr>
            </w:pPr>
          </w:p>
        </w:tc>
        <w:tc>
          <w:tcPr>
            <w:tcW w:w="724" w:type="dxa"/>
            <w:tcBorders>
              <w:top w:val="nil"/>
              <w:left w:val="nil"/>
              <w:bottom w:val="nil"/>
              <w:right w:val="nil"/>
            </w:tcBorders>
            <w:shd w:val="clear"/>
            <w:vAlign w:val="center"/>
          </w:tcPr>
          <w:p>
            <w:pPr>
              <w:rPr>
                <w:rFonts w:hint="eastAsia" w:ascii="宋体"/>
                <w:sz w:val="24"/>
                <w:szCs w:val="24"/>
              </w:rPr>
            </w:pPr>
          </w:p>
        </w:tc>
        <w:tc>
          <w:tcPr>
            <w:tcW w:w="427" w:type="dxa"/>
            <w:tcBorders>
              <w:top w:val="nil"/>
              <w:left w:val="nil"/>
              <w:bottom w:val="nil"/>
              <w:right w:val="nil"/>
            </w:tcBorders>
            <w:shd w:val="clear"/>
            <w:vAlign w:val="center"/>
          </w:tcPr>
          <w:p>
            <w:pPr>
              <w:rPr>
                <w:rFonts w:hint="eastAsia" w:ascii="宋体"/>
                <w:sz w:val="24"/>
                <w:szCs w:val="24"/>
              </w:rPr>
            </w:pPr>
          </w:p>
        </w:tc>
        <w:tc>
          <w:tcPr>
            <w:tcW w:w="134" w:type="dxa"/>
            <w:tcBorders>
              <w:top w:val="nil"/>
              <w:left w:val="nil"/>
              <w:bottom w:val="nil"/>
              <w:right w:val="nil"/>
            </w:tcBorders>
            <w:shd w:val="clear"/>
            <w:vAlign w:val="center"/>
          </w:tcPr>
          <w:p>
            <w:pPr>
              <w:rPr>
                <w:rFonts w:hint="eastAsia" w:ascii="宋体"/>
                <w:sz w:val="24"/>
                <w:szCs w:val="24"/>
              </w:rPr>
            </w:pPr>
          </w:p>
        </w:tc>
        <w:tc>
          <w:tcPr>
            <w:tcW w:w="292" w:type="dxa"/>
            <w:tcBorders>
              <w:top w:val="nil"/>
              <w:left w:val="nil"/>
              <w:bottom w:val="nil"/>
              <w:right w:val="nil"/>
            </w:tcBorders>
            <w:shd w:val="clear"/>
            <w:vAlign w:val="center"/>
          </w:tcPr>
          <w:p>
            <w:pPr>
              <w:rPr>
                <w:rFonts w:hint="eastAsia" w:ascii="宋体"/>
                <w:sz w:val="24"/>
                <w:szCs w:val="24"/>
              </w:rPr>
            </w:pPr>
          </w:p>
        </w:tc>
        <w:tc>
          <w:tcPr>
            <w:tcW w:w="427" w:type="dxa"/>
            <w:tcBorders>
              <w:top w:val="nil"/>
              <w:left w:val="nil"/>
              <w:bottom w:val="nil"/>
              <w:right w:val="nil"/>
            </w:tcBorders>
            <w:shd w:val="clear"/>
            <w:vAlign w:val="center"/>
          </w:tcPr>
          <w:p>
            <w:pPr>
              <w:rPr>
                <w:rFonts w:hint="eastAsia" w:ascii="宋体"/>
                <w:sz w:val="24"/>
                <w:szCs w:val="24"/>
              </w:rPr>
            </w:pPr>
          </w:p>
        </w:tc>
        <w:tc>
          <w:tcPr>
            <w:tcW w:w="290" w:type="dxa"/>
            <w:tcBorders>
              <w:top w:val="nil"/>
              <w:left w:val="nil"/>
              <w:bottom w:val="nil"/>
              <w:right w:val="nil"/>
            </w:tcBorders>
            <w:shd w:val="clear"/>
            <w:vAlign w:val="center"/>
          </w:tcPr>
          <w:p>
            <w:pPr>
              <w:rPr>
                <w:rFonts w:hint="eastAsia" w:ascii="宋体"/>
                <w:sz w:val="24"/>
                <w:szCs w:val="24"/>
              </w:rPr>
            </w:pPr>
          </w:p>
        </w:tc>
        <w:tc>
          <w:tcPr>
            <w:tcW w:w="498" w:type="dxa"/>
            <w:tcBorders>
              <w:top w:val="nil"/>
              <w:left w:val="nil"/>
              <w:bottom w:val="nil"/>
              <w:right w:val="nil"/>
            </w:tcBorders>
            <w:shd w:val="clear"/>
            <w:vAlign w:val="center"/>
          </w:tcPr>
          <w:p>
            <w:pPr>
              <w:rPr>
                <w:rFonts w:hint="eastAsia" w:ascii="宋体"/>
                <w:sz w:val="24"/>
                <w:szCs w:val="24"/>
              </w:rPr>
            </w:pPr>
          </w:p>
        </w:tc>
        <w:tc>
          <w:tcPr>
            <w:tcW w:w="538" w:type="dxa"/>
            <w:tcBorders>
              <w:top w:val="nil"/>
              <w:left w:val="nil"/>
              <w:bottom w:val="nil"/>
              <w:right w:val="nil"/>
            </w:tcBorders>
            <w:shd w:val="clear"/>
            <w:vAlign w:val="center"/>
          </w:tcPr>
          <w:p>
            <w:pPr>
              <w:rPr>
                <w:rFonts w:hint="eastAsia" w:ascii="宋体"/>
                <w:sz w:val="24"/>
                <w:szCs w:val="24"/>
              </w:rPr>
            </w:pPr>
          </w:p>
        </w:tc>
        <w:tc>
          <w:tcPr>
            <w:tcW w:w="1214" w:type="dxa"/>
            <w:tcBorders>
              <w:top w:val="nil"/>
              <w:left w:val="nil"/>
              <w:bottom w:val="nil"/>
              <w:right w:val="nil"/>
            </w:tcBorders>
            <w:shd w:val="clear"/>
            <w:vAlign w:val="center"/>
          </w:tcPr>
          <w:p>
            <w:pPr>
              <w:rPr>
                <w:rFonts w:hint="eastAsia" w:ascii="宋体"/>
                <w:sz w:val="24"/>
                <w:szCs w:val="24"/>
              </w:rPr>
            </w:pPr>
          </w:p>
        </w:tc>
        <w:tc>
          <w:tcPr>
            <w:tcW w:w="944" w:type="dxa"/>
            <w:tcBorders>
              <w:top w:val="nil"/>
              <w:left w:val="nil"/>
              <w:bottom w:val="nil"/>
              <w:right w:val="nil"/>
            </w:tcBorders>
            <w:shd w:val="clear"/>
            <w:vAlign w:val="center"/>
          </w:tcPr>
          <w:p>
            <w:pPr>
              <w:rPr>
                <w:rFonts w:hint="eastAsia" w:ascii="宋体"/>
                <w:sz w:val="24"/>
                <w:szCs w:val="24"/>
              </w:rPr>
            </w:pPr>
          </w:p>
        </w:tc>
        <w:tc>
          <w:tcPr>
            <w:tcW w:w="1296"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ascii="微软雅黑" w:hAnsi="微软雅黑" w:eastAsia="微软雅黑" w:cs="微软雅黑"/>
          <w:i w:val="0"/>
          <w:caps w:val="0"/>
          <w:color w:val="333333"/>
          <w:spacing w:val="0"/>
          <w:sz w:val="21"/>
          <w:szCs w:val="21"/>
        </w:rPr>
      </w:pPr>
      <w:r>
        <w:rPr>
          <w:rFonts w:hint="eastAsia" w:ascii="黑体" w:hAnsi="宋体" w:eastAsia="黑体" w:cs="黑体"/>
          <w:b/>
          <w:i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0"/>
          <w:szCs w:val="40"/>
          <w:bdr w:val="none" w:color="auto" w:sz="0" w:space="0"/>
          <w:shd w:val="clear" w:fill="FFFFFF"/>
        </w:rPr>
        <w:t>中小学幼儿园新任教师公开招聘笔试科目类别</w:t>
      </w:r>
    </w:p>
    <w:tbl>
      <w:tblPr>
        <w:tblW w:w="9464" w:type="dxa"/>
        <w:jc w:val="center"/>
        <w:tblInd w:w="-47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98"/>
        <w:gridCol w:w="72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24" w:hRule="atLeast"/>
          <w:jc w:val="center"/>
        </w:trPr>
        <w:tc>
          <w:tcPr>
            <w:tcW w:w="21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b/>
                <w:i w:val="0"/>
                <w:caps w:val="0"/>
                <w:color w:val="333333"/>
                <w:spacing w:val="0"/>
                <w:sz w:val="22"/>
                <w:szCs w:val="22"/>
                <w:bdr w:val="none" w:color="auto" w:sz="0" w:space="0"/>
              </w:rPr>
              <w:t>序号</w:t>
            </w:r>
          </w:p>
        </w:tc>
        <w:tc>
          <w:tcPr>
            <w:tcW w:w="726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b/>
                <w:i w:val="0"/>
                <w:caps w:val="0"/>
                <w:color w:val="333333"/>
                <w:spacing w:val="0"/>
                <w:sz w:val="22"/>
                <w:szCs w:val="22"/>
                <w:bdr w:val="none" w:color="auto" w:sz="0" w:space="0"/>
              </w:rPr>
              <w:t>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幼儿教育综合知识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中小学教育综合知识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幼儿教育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6"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小学科学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小学道德与法治、品德与社会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4"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9"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中学思想政治道德与法治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中学地理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中学通用技术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3"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0"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30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31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特殊教育</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43A79"/>
    <w:rsid w:val="7614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2021-03-15T01:15:00Z</dcterms:created>
  <dc:creator>無芸大食</dc:creator>
  <cp:lastModifiedBy>無芸大食</cp:lastModifiedBy>
  <dcterms:modified xsi:type="dcterms:W3CDTF">2021-03-15T01:16:19Z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